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spacing w:line="590" w:lineRule="exact"/>
        <w:ind w:left="0" w:leftChars="0" w:right="0" w:rightChars="0"/>
        <w:jc w:val="center"/>
        <w:textAlignment w:val="auto"/>
        <w:rPr>
          <w:rFonts w:hint="eastAsia"/>
          <w:b w:val="0"/>
          <w:bCs/>
          <w:lang w:val="en-US" w:eastAsia="zh-CN"/>
        </w:rPr>
      </w:pPr>
      <w:r>
        <w:rPr>
          <w:rFonts w:hint="eastAsia" w:ascii="方正小标宋简体" w:hAnsi="方正小标宋简体" w:eastAsia="方正小标宋简体" w:cs="方正小标宋简体"/>
          <w:b w:val="0"/>
          <w:bCs/>
          <w:sz w:val="44"/>
          <w:szCs w:val="44"/>
          <w:lang w:val="en-US" w:eastAsia="zh-CN"/>
        </w:rPr>
        <w:t>第十三讲  克罗恩病围手术期营养支持指南    （2021版）</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福建省立医院</w:t>
      </w:r>
      <w:r>
        <w:rPr>
          <w:rFonts w:hint="eastAsia" w:ascii="仿宋_GB2312" w:hAnsi="仿宋_GB2312" w:eastAsia="仿宋_GB2312" w:cs="仿宋_GB2312"/>
          <w:sz w:val="32"/>
          <w:szCs w:val="32"/>
          <w:lang w:val="en-US" w:eastAsia="zh-CN"/>
        </w:rPr>
        <w:t xml:space="preserve">  穆艳</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克罗恩病（Crohn’s disease，CD）是一种慢性肠道炎症性疾病，可导致全消化道进行性损伤和病变。CD全年龄段均可发病，严重影响生活质量，具有一定的致残性。我国和全球的CD发病率及患病率正呈现不断上升的趋势，过去30年，其发病率每年增加4%～15%。约1/3的CD病人在初次诊断时已合并有狭窄、肠瘘或腹腔脓肿等病变，至少1/2的病人在病程中需要接受1次甚至多次手术治疗。由于经口进食减少、营养需求增加、经消化道营养物质丢失增多以及药物作用等，CD病人通常合并营养不良，其严重程度通常与疾病活动度、病程、病变累及范围等因素有关。此外，肠道炎性反应所致的高分解代谢和</w:t>
      </w:r>
      <w:r>
        <w:rPr>
          <w:rFonts w:hint="eastAsia" w:ascii="仿宋_GB2312" w:hAnsi="仿宋_GB2312" w:eastAsia="仿宋_GB2312" w:cs="仿宋_GB2312"/>
          <w:sz w:val="32"/>
          <w:szCs w:val="32"/>
          <w:lang w:eastAsia="zh-CN"/>
        </w:rPr>
        <w:t>厌食</w:t>
      </w:r>
      <w:r>
        <w:rPr>
          <w:rFonts w:hint="eastAsia" w:ascii="仿宋_GB2312" w:hAnsi="仿宋_GB2312" w:eastAsia="仿宋_GB2312" w:cs="仿宋_GB2312"/>
          <w:sz w:val="32"/>
          <w:szCs w:val="32"/>
        </w:rPr>
        <w:t>也是重要原因。</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适用于CD术前营养风险筛查和营养状况评估的方法</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需要接受手术的CD病人由于病情重、肠道有狭窄或穿透性病变等原因，营养状况较一般CD病人更差。术前应进行营养风险筛查，以提高手术安全性，减少术后并发症。营养风险筛查 2002（nutritional risk screening 2002，NRS 2002）是迄今为止</w:t>
      </w:r>
      <w:r>
        <w:rPr>
          <w:rFonts w:hint="eastAsia" w:ascii="仿宋_GB2312" w:hAnsi="仿宋_GB2312" w:eastAsia="仿宋_GB2312" w:cs="仿宋_GB2312"/>
          <w:sz w:val="32"/>
          <w:szCs w:val="32"/>
          <w:lang w:eastAsia="zh-CN"/>
        </w:rPr>
        <w:t>唯一</w:t>
      </w:r>
      <w:r>
        <w:rPr>
          <w:rFonts w:hint="eastAsia" w:ascii="仿宋_GB2312" w:hAnsi="仿宋_GB2312" w:eastAsia="仿宋_GB2312" w:cs="仿宋_GB2312"/>
          <w:sz w:val="32"/>
          <w:szCs w:val="32"/>
        </w:rPr>
        <w:t>以128项随机对照研究作为循证基础的营养风险筛查工具，信度和效度已得到验证。该工具敏感度和特异度较高，简单易用，已被多个国家或国际营养学会推荐为住院病人营养风险筛查首选工具，也是我国成人CD围手术期指南推荐的筛查工具。NRS2002 的效力在CD病人中已经得到了证实，一项纳入 1618例炎症性肠病（inflammatory bowel disease，IBD）病人（其中CD占72%）的系统综述比较了包括NRS 2002在内的4个营养筛查工具，其中NRS 2002与临床结局（包括手术需求、疾病活动和住院时间）有显著相关性，推荐应用于临床。NRS2002评分≥3分提示有营养风险，需要进一步进行营养状况评估。</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推荐意见1：推荐将NRS2002作为CD术前营养风险筛查工具。（推荐等级：强烈推荐）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推荐意见2A：建议多种指标联合应用，综合评估CD病人营养状况。推荐 PG-SGA作为CD病人营养状况主观评价工具。（推荐等级：推荐）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推荐意见2B：建议对CD病人进行人体组成成分分析，尤其是少肌症的评估。（推荐等级：推荐）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相比于正常人群，CD病人的能量和蛋白质需求特点</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最理想的静息能量代谢（resting energy expenditure，REE）测定方法为间接能量测定法（indirect calorimetry，IC），并结合病人的活动强度、疾病应激状况确定每日能量需要。在国内，由于仪器、环境等因素的限制，CD病人在围手术期并不能常规采用IC来计算REE，而更多的按照 25～30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1kcal=4.18kJ）计算基本能量摄入需求，再根据病人的身高、体重、性别、年龄、疾病活动度、应激状况调整为个体化能量标准。在开具营养处方前，首先应确定用于计算热量和蛋白质摄入量的合适体重，从而根据体重来确定目标喂养量。若病人BMI＜18.5，建议将当前实际体重作为初始剂量体重，待病人病情稳定后，可适当增加热量供给。若病人BMI介于18.5～30.0，建议使用理想体重（IBW）来作为计算目标能量供给。成人理想体重计算公式为：男性：IBW（kg）=52+1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9×［身高（cm）/2.54-60］；女性：IBW（kg）=49+1.7×［身高（cm）/2.54-60］。对于肥胖的病人，应根据BMI调整能量需求：BMI为30～50 时，按照11～14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d）计算；BMI＞50时，按照22～25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d）计算。</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推荐意见3：在CD的缓解期，REE并未增加。建议使用基于体重的简单公式［25～30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d）］来估算能量需求。条件许可，建议使用IC确定能量需求。（推荐等级：强烈推荐）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推荐意见4：在CD缓解期，蛋白质需要量约为1.0g/（kg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d）。在 CD 活动期，蛋白质需要量增加，成人为1.2～1.5g/（kg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d）。（推荐等级：推荐）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CD 病人围手术期常合并哪些微量营养素缺乏，如何监测和纠正</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约半数以上的CD病人存在微量营养素缺乏，常见的有铁、维生素B12、维生素D、维生素K、叶酸、硒、锌、维生素B6和维生素B1，建议定期筛查和纠正。欧洲专科中心接受治疗的CD病人中，贫血患病率为27%，其中57%是缺铁性贫血。CD病人合并铁缺乏主要原因是肠道溃疡面持续失血所致丢失过多，十二指肠空肠黏膜病变所致吸收不良，疾病所致摄入不足等。CD病人筛查贫血时建议检测全血细胞计数（含网织红细胞）和体内铁水平（包括血清铁、血清铁蛋白和转铁蛋白饱和度）。多项多中心临床研究结果表明，疾病活动亦可影响各检测指标，故建议同时监测疾病活动情况，主要为C反应蛋白、红细胞沉降率、粪钙卫蛋白等。活动期 CD病人应至少每3个月检测1次，缓解期或轻度CD病人应每6～12个月检测1次。对于轻度贫血的缓解期CD病人，首选口服铁剂治疗，67%～78%的病人口服补铁有效。CD 活动期及口服不耐受者，静脉补铁较口服补铁更安全、有效、耐受好。</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推荐意见5A：围手术期CD病人常合并微量营养素缺乏，以铁缺乏最常见。活动期CD病人应每3个月进行1次检测，缓解期CD病人应每 6～12个月进行 1 次检测。（推荐等级：强烈推荐）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推荐意见5B：轻度贫血的缓解期CD病人，首选口服补铁。处于CD活动期、口服铁剂不耐受、血红蛋白＜100 g/L以及需要使用促红细胞生成素的病人，首选静脉补铁。（推荐等级：推荐）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推荐意见6：CD病人至少每年检测1次维生素B12及叶酸水平，不使用硫嘌呤的病人出现巨细胞增多症时也需要检测。回肠病变或切除回肠＞20cm的CD病人须密切监测维生素B12水平。（推荐等级：推荐）</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D病人营养不良发生率高，是CD术后出现各类并发症的重要危险因素。本指南从营养风险筛查、微量营养素缺乏的监测与纠正、围手术期药物治疗、肠内或外营养支持途径的选择等方面，为CD围手术期营养支持与管理的规范化提供了推荐和参考，希望有助于减少CD病人术后并发症，改善手术预后。</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480" w:firstLineChars="200"/>
        <w:jc w:val="both"/>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附单项</w:t>
      </w:r>
      <w:r>
        <w:rPr>
          <w:rFonts w:hint="eastAsia" w:ascii="仿宋_GB2312" w:hAnsi="仿宋_GB2312" w:eastAsia="仿宋_GB2312" w:cs="仿宋_GB2312"/>
          <w:b/>
          <w:bCs/>
          <w:sz w:val="32"/>
          <w:szCs w:val="32"/>
        </w:rPr>
        <w:t>单选题</w:t>
      </w:r>
      <w:r>
        <w:rPr>
          <w:rFonts w:hint="eastAsia" w:ascii="仿宋_GB2312" w:hAnsi="仿宋_GB2312" w:eastAsia="仿宋_GB2312" w:cs="仿宋_GB2312"/>
          <w:b/>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我国和全球的CD发病率及患病率正呈现不断上升的趋势，过去30年，其发病率每年增加</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4%～15%</w:t>
      </w:r>
      <w:r>
        <w:rPr>
          <w:rFonts w:hint="eastAsia" w:ascii="仿宋_GB2312" w:hAnsi="仿宋_GB2312" w:eastAsia="仿宋_GB2312" w:cs="仿宋_GB2312"/>
          <w:sz w:val="32"/>
          <w:szCs w:val="32"/>
          <w:lang w:val="en-US" w:eastAsia="zh-CN"/>
        </w:rPr>
        <w:t xml:space="preserve">      C.15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D.5</w:t>
      </w:r>
      <w:r>
        <w:rPr>
          <w:rFonts w:hint="eastAsia" w:ascii="仿宋_GB2312" w:hAnsi="仿宋_GB2312" w:eastAsia="仿宋_GB2312" w:cs="仿宋_GB2312"/>
          <w:sz w:val="32"/>
          <w:szCs w:val="32"/>
        </w:rPr>
        <w:t>%～15%</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由于经口进食减少、营养需求增加、经消化道营养物质丢失增多以及药物作用等，CD病人通常合并</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A.体重减轻    B.酸碱平衡紊乱    C.水肿     D.</w:t>
      </w:r>
      <w:r>
        <w:rPr>
          <w:rFonts w:hint="eastAsia" w:ascii="仿宋_GB2312" w:hAnsi="仿宋_GB2312" w:eastAsia="仿宋_GB2312" w:cs="仿宋_GB2312"/>
          <w:sz w:val="32"/>
          <w:szCs w:val="32"/>
        </w:rPr>
        <w:t>营养不良</w:t>
      </w:r>
    </w:p>
    <w:p>
      <w:pPr>
        <w:keepNext w:val="0"/>
        <w:keepLines w:val="0"/>
        <w:pageBreakBefore w:val="0"/>
        <w:widowControl w:val="0"/>
        <w:numPr>
          <w:ilvl w:val="0"/>
          <w:numId w:val="1"/>
        </w:numPr>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NRS 2002 评分</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rPr>
        <w:t>分提示有营养风险</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3</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4        </w:t>
      </w: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t xml:space="preserve">         D.</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6</w:t>
      </w:r>
    </w:p>
    <w:p>
      <w:pPr>
        <w:keepNext w:val="0"/>
        <w:keepLines w:val="0"/>
        <w:pageBreakBefore w:val="0"/>
        <w:widowControl w:val="0"/>
        <w:numPr>
          <w:ilvl w:val="0"/>
          <w:numId w:val="1"/>
        </w:numPr>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若病人</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rPr>
        <w:t>，建议将当前实际体重作为初始剂量体重，待病人病情稳定后，可适当增加热量供给</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 xml:space="preserve"> BMI＜18.5</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 xml:space="preserve"> BMI＜</w:t>
      </w:r>
      <w:r>
        <w:rPr>
          <w:rFonts w:hint="eastAsia" w:ascii="仿宋_GB2312" w:hAnsi="仿宋_GB2312" w:eastAsia="仿宋_GB2312" w:cs="仿宋_GB2312"/>
          <w:sz w:val="32"/>
          <w:szCs w:val="32"/>
          <w:lang w:val="en-US" w:eastAsia="zh-CN"/>
        </w:rPr>
        <w:t xml:space="preserve">24 </w:t>
      </w:r>
      <w:r>
        <w:rPr>
          <w:rFonts w:hint="eastAsia" w:ascii="仿宋_GB2312" w:hAnsi="仿宋_GB2312" w:eastAsia="仿宋_GB2312" w:cs="仿宋_GB2312"/>
          <w:sz w:val="32"/>
          <w:szCs w:val="32"/>
          <w:lang w:val="en-US" w:eastAsia="zh-CN"/>
        </w:rPr>
        <w:t xml:space="preserve">   C.</w:t>
      </w:r>
      <w:r>
        <w:rPr>
          <w:rFonts w:hint="eastAsia" w:ascii="仿宋_GB2312" w:hAnsi="仿宋_GB2312" w:eastAsia="仿宋_GB2312" w:cs="仿宋_GB2312"/>
          <w:sz w:val="32"/>
          <w:szCs w:val="32"/>
        </w:rPr>
        <w:t xml:space="preserve"> BMI＜</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lang w:val="en-US" w:eastAsia="zh-CN"/>
        </w:rPr>
        <w:t xml:space="preserve">     D.</w:t>
      </w:r>
      <w:r>
        <w:rPr>
          <w:rFonts w:hint="eastAsia" w:ascii="仿宋_GB2312" w:hAnsi="仿宋_GB2312" w:eastAsia="仿宋_GB2312" w:cs="仿宋_GB2312"/>
          <w:sz w:val="32"/>
          <w:szCs w:val="32"/>
        </w:rPr>
        <w:t xml:space="preserve"> BMI＜</w:t>
      </w:r>
      <w:r>
        <w:rPr>
          <w:rFonts w:hint="eastAsia" w:ascii="仿宋_GB2312" w:hAnsi="仿宋_GB2312" w:eastAsia="仿宋_GB2312" w:cs="仿宋_GB2312"/>
          <w:sz w:val="32"/>
          <w:szCs w:val="32"/>
          <w:lang w:val="en-US" w:eastAsia="zh-CN"/>
        </w:rPr>
        <w:t>35</w:t>
      </w:r>
    </w:p>
    <w:p>
      <w:pPr>
        <w:keepNext w:val="0"/>
        <w:keepLines w:val="0"/>
        <w:pageBreakBefore w:val="0"/>
        <w:widowControl w:val="0"/>
        <w:numPr>
          <w:ilvl w:val="0"/>
          <w:numId w:val="1"/>
        </w:numPr>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男性成</w:t>
      </w:r>
      <w:r>
        <w:rPr>
          <w:rFonts w:hint="eastAsia" w:ascii="仿宋_GB2312" w:hAnsi="仿宋_GB2312" w:eastAsia="仿宋_GB2312" w:cs="仿宋_GB2312"/>
          <w:sz w:val="32"/>
          <w:szCs w:val="32"/>
        </w:rPr>
        <w:t>人理想体重计算公式为：</w:t>
      </w:r>
      <w:r>
        <w:rPr>
          <w:rFonts w:hint="eastAsia" w:ascii="仿宋_GB2312" w:hAnsi="仿宋_GB2312" w:eastAsia="仿宋_GB2312" w:cs="仿宋_GB2312"/>
          <w:sz w:val="32"/>
          <w:szCs w:val="32"/>
          <w:lang w:val="en-US" w:eastAsia="zh-CN"/>
        </w:rPr>
        <w:t>（  ）</w:t>
      </w:r>
    </w:p>
    <w:p>
      <w:pPr>
        <w:keepNext w:val="0"/>
        <w:keepLines w:val="0"/>
        <w:pageBreakBefore w:val="0"/>
        <w:widowControl w:val="0"/>
        <w:numPr>
          <w:ilvl w:val="0"/>
          <w:numId w:val="2"/>
        </w:numPr>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IBW（kg）=49+1.7×［身高（cm）/2.54-60］</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IBW（kg）=</w:t>
      </w:r>
      <w:r>
        <w:rPr>
          <w:rFonts w:hint="eastAsia" w:ascii="仿宋_GB2312" w:hAnsi="仿宋_GB2312" w:eastAsia="仿宋_GB2312" w:cs="仿宋_GB2312"/>
          <w:sz w:val="32"/>
          <w:szCs w:val="32"/>
          <w:lang w:val="en-US" w:eastAsia="zh-CN"/>
        </w:rPr>
        <w:t>49</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×［身高（cm）/2.54-60］</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IBW（kg）=52+1.9×［身高（cm）/2.54-60］</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numPr>
          <w:ilvl w:val="0"/>
          <w:numId w:val="2"/>
        </w:numPr>
        <w:kinsoku/>
        <w:wordWrap/>
        <w:overflowPunct/>
        <w:topLinePunct w:val="0"/>
        <w:autoSpaceDE/>
        <w:autoSpaceDN/>
        <w:bidi w:val="0"/>
        <w:adjustRightInd w:val="0"/>
        <w:snapToGrid w:val="0"/>
        <w:spacing w:line="59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IBW（kg）=52+1.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×［身高（cm）/2.54-60］</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对于肥胖的病人，应根据BMI调整能量需求：BMI 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时，按照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计算；BMI</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时，按照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计算。</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22～25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＞30～50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11～14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w:t>
      </w:r>
      <w:r>
        <w:rPr>
          <w:rFonts w:hint="eastAsia" w:ascii="仿宋_GB2312" w:hAnsi="仿宋_GB2312" w:eastAsia="仿宋_GB2312" w:cs="仿宋_GB2312"/>
          <w:sz w:val="32"/>
          <w:szCs w:val="32"/>
        </w:rPr>
        <w:t>30～50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11～14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22～25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11～14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30~50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22～25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rPr>
        <w:t>30～50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22～25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11～14 kcal/（kg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p>
    <w:p>
      <w:pPr>
        <w:keepNext w:val="0"/>
        <w:keepLines w:val="0"/>
        <w:pageBreakBefore w:val="0"/>
        <w:widowControl w:val="0"/>
        <w:numPr>
          <w:ilvl w:val="0"/>
          <w:numId w:val="3"/>
        </w:numPr>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 CD 缓解期，蛋白质需要量约为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numPr>
          <w:numId w:val="0"/>
        </w:numPr>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1.0g/（kg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1.2～1.5 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D.</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 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 xml:space="preserve">在 CD 活动期，蛋白质需要量增加，成人为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1.0g/（kg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C.</w:t>
      </w:r>
      <w:r>
        <w:rPr>
          <w:rFonts w:hint="eastAsia" w:ascii="仿宋_GB2312" w:hAnsi="仿宋_GB2312" w:eastAsia="仿宋_GB2312" w:cs="仿宋_GB2312"/>
          <w:sz w:val="32"/>
          <w:szCs w:val="32"/>
        </w:rPr>
        <w:t>1.2～1.5g/（kg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 xml:space="preserve">      D.</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 xml:space="preserve"> g/（kg</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d）</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欧洲专科中心接受治疗的CD病人中，贫血患病率为 27%，其中57%是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缺铁性贫血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 xml:space="preserve">   B.再生障碍性贫血</w:t>
      </w: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C.地中海性贫血</w:t>
      </w:r>
      <w:r>
        <w:rPr>
          <w:rFonts w:hint="eastAsia" w:ascii="仿宋_GB2312" w:hAnsi="仿宋_GB2312" w:eastAsia="仿宋_GB2312" w:cs="仿宋_GB2312"/>
          <w:sz w:val="32"/>
          <w:szCs w:val="32"/>
          <w:lang w:val="en-US" w:eastAsia="zh-CN"/>
        </w:rPr>
        <w:t xml:space="preserve">             D.溶血性贫血</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围手术期 CD 病人常合并微量营养素缺乏，以</w:t>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rPr>
        <w:t>缺乏最常见。</w:t>
      </w:r>
    </w:p>
    <w:p>
      <w:pPr>
        <w:keepNext w:val="0"/>
        <w:keepLines w:val="0"/>
        <w:pageBreakBefore w:val="0"/>
        <w:widowControl w:val="0"/>
        <w:kinsoku/>
        <w:wordWrap/>
        <w:overflowPunct/>
        <w:topLinePunct w:val="0"/>
        <w:autoSpaceDE/>
        <w:autoSpaceDN/>
        <w:bidi w:val="0"/>
        <w:adjustRightInd w:val="0"/>
        <w:snapToGrid w:val="0"/>
        <w:spacing w:line="590" w:lineRule="exact"/>
        <w:ind w:left="0" w:leftChars="0"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rPr>
        <w:t>叶酸</w:t>
      </w:r>
      <w:r>
        <w:rPr>
          <w:rFonts w:hint="eastAsia" w:ascii="仿宋_GB2312" w:hAnsi="仿宋_GB2312" w:eastAsia="仿宋_GB2312" w:cs="仿宋_GB2312"/>
          <w:sz w:val="32"/>
          <w:szCs w:val="32"/>
          <w:lang w:val="en-US" w:eastAsia="zh-CN"/>
        </w:rPr>
        <w:t xml:space="preserve">        B.</w:t>
      </w:r>
      <w:r>
        <w:rPr>
          <w:rFonts w:hint="eastAsia" w:ascii="仿宋_GB2312" w:hAnsi="仿宋_GB2312" w:eastAsia="仿宋_GB2312" w:cs="仿宋_GB2312"/>
          <w:sz w:val="32"/>
          <w:szCs w:val="32"/>
        </w:rPr>
        <w:t>维生素</w:t>
      </w:r>
      <w:r>
        <w:rPr>
          <w:rFonts w:hint="eastAsia" w:ascii="仿宋_GB2312" w:hAnsi="仿宋_GB2312" w:eastAsia="仿宋_GB2312" w:cs="仿宋_GB2312"/>
          <w:sz w:val="32"/>
          <w:szCs w:val="32"/>
          <w:lang w:val="en-US" w:eastAsia="zh-CN"/>
        </w:rPr>
        <w:t>D</w:t>
      </w:r>
      <w:r>
        <w:rPr>
          <w:rFonts w:hint="eastAsia" w:ascii="仿宋_GB2312" w:hAnsi="仿宋_GB2312" w:eastAsia="仿宋_GB2312" w:cs="仿宋_GB2312"/>
          <w:sz w:val="32"/>
          <w:szCs w:val="32"/>
          <w:lang w:val="en-US" w:eastAsia="zh-CN"/>
        </w:rPr>
        <w:t xml:space="preserve">       C.</w:t>
      </w:r>
      <w:r>
        <w:rPr>
          <w:rFonts w:hint="eastAsia" w:ascii="仿宋_GB2312" w:hAnsi="仿宋_GB2312" w:eastAsia="仿宋_GB2312" w:cs="仿宋_GB2312"/>
          <w:sz w:val="32"/>
          <w:szCs w:val="32"/>
        </w:rPr>
        <w:t>维生素B12</w:t>
      </w:r>
      <w:r>
        <w:rPr>
          <w:rFonts w:hint="eastAsia" w:ascii="仿宋_GB2312" w:hAnsi="仿宋_GB2312" w:eastAsia="仿宋_GB2312" w:cs="仿宋_GB2312"/>
          <w:sz w:val="32"/>
          <w:szCs w:val="32"/>
          <w:lang w:val="en-US" w:eastAsia="zh-CN"/>
        </w:rPr>
        <w:t xml:space="preserve">       D.铁</w:t>
      </w:r>
    </w:p>
    <w:p>
      <w:pPr>
        <w:adjustRightInd w:val="0"/>
        <w:snapToGrid w:val="0"/>
        <w:spacing w:line="360" w:lineRule="auto"/>
        <w:rPr>
          <w:rFonts w:hint="eastAsia" w:ascii="宋体" w:hAnsi="宋体" w:cs="宋体"/>
          <w:sz w:val="24"/>
          <w:szCs w:val="32"/>
          <w:lang w:val="en-US" w:eastAsia="zh-CN"/>
        </w:rPr>
      </w:pPr>
    </w:p>
    <w:p>
      <w:pPr>
        <w:adjustRightInd w:val="0"/>
        <w:snapToGrid w:val="0"/>
        <w:spacing w:line="360" w:lineRule="auto"/>
        <w:rPr>
          <w:rFonts w:hint="eastAsia" w:ascii="宋体" w:hAnsi="宋体" w:cs="宋体"/>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sectPr>
      <w:pgSz w:w="11906" w:h="16838"/>
      <w:pgMar w:top="1814" w:right="1587" w:bottom="1701" w:left="1587" w:header="851" w:footer="992" w:gutter="0"/>
      <w:paperSrc/>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47CD2"/>
    <w:multiLevelType w:val="singleLevel"/>
    <w:tmpl w:val="28D47CD2"/>
    <w:lvl w:ilvl="0" w:tentative="0">
      <w:start w:val="3"/>
      <w:numFmt w:val="decimal"/>
      <w:suff w:val="nothing"/>
      <w:lvlText w:val="%1、"/>
      <w:lvlJc w:val="left"/>
    </w:lvl>
  </w:abstractNum>
  <w:abstractNum w:abstractNumId="1">
    <w:nsid w:val="632124DB"/>
    <w:multiLevelType w:val="singleLevel"/>
    <w:tmpl w:val="632124DB"/>
    <w:lvl w:ilvl="0" w:tentative="0">
      <w:start w:val="7"/>
      <w:numFmt w:val="decimal"/>
      <w:suff w:val="nothing"/>
      <w:lvlText w:val="%1、"/>
      <w:lvlJc w:val="left"/>
    </w:lvl>
  </w:abstractNum>
  <w:abstractNum w:abstractNumId="2">
    <w:nsid w:val="6DE2042A"/>
    <w:multiLevelType w:val="singleLevel"/>
    <w:tmpl w:val="6DE2042A"/>
    <w:lvl w:ilvl="0" w:tentative="0">
      <w:start w:val="1"/>
      <w:numFmt w:val="upperLetter"/>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97516"/>
    <w:rsid w:val="0FBF2FB7"/>
    <w:rsid w:val="141E149C"/>
    <w:rsid w:val="23D77D58"/>
    <w:rsid w:val="31797516"/>
    <w:rsid w:val="322B4B69"/>
    <w:rsid w:val="3F5F1054"/>
    <w:rsid w:val="449D2F75"/>
    <w:rsid w:val="4BF67351"/>
    <w:rsid w:val="6CDE2C3C"/>
    <w:rsid w:val="70A854FA"/>
    <w:rsid w:val="70F50C35"/>
    <w:rsid w:val="79602B6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2022-01-23T08:36:00Z</dcterms:created>
  <dc:creator>池鱼</dc:creator>
  <cp:lastModifiedBy>lenovo</cp:lastModifiedBy>
  <dcterms:modified xsi:type="dcterms:W3CDTF">2022-09-14T00:50:07Z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CB549451BC7B4CD78DD5978823DC38C7</vt:lpwstr>
  </property>
</Properties>
</file>